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173</w:t>
      </w:r>
    </w:p>
    <w:p>
      <w:r>
        <w:t>Bundesgericht (BGE), 1989-09-05, DE</w:t>
      </w:r>
    </w:p>
    <w:p>
      <w:r>
        <w:rPr>
          <w:b/>
        </w:rPr>
        <w:t xml:space="preserve">Quelle: </w:t>
      </w:r>
      <w:r>
        <w:t>https://mcp.opencaselaw.ch/entscheid/bge_115 IV 173</w:t>
      </w:r>
    </w:p>
    <w:p>
      <w:r>
        <w:t>FR: ATF 115 IV 173</w:t>
      </w:r>
    </w:p>
    <w:p>
      <w:r>
        <w:t>IT: DTF 115 IV 173</w:t>
      </w:r>
    </w:p>
    <w:p>
      <w:pPr>
        <w:pStyle w:val="Heading2"/>
      </w:pPr>
      <w:r>
        <w:t>Regeste</w:t>
      </w:r>
    </w:p>
    <w:p>
      <w:r>
        <w:t>Regeste Art. 48 Ziff. 2, Art. 58 Abs. 1 und 4 StGB; Einziehung. Die Höhe einer Busse ist nach den in Art. 48 Ziff. 2 StGB festgelegten Grundsätzen zu bemessen (E. 2; Bestätigung der Rechtsprechung). Unabhängig davon muss der Richter die Einziehung anordnen, wenn deren Voraussetzungen vorliegen; insbesondere darf er eine ausgesprochene Busse nicht bei der Abschöpfung des unrechtmässig erlangten Vermögensvorteils auf die Ersatzforderung anrechnen (E. 3).</w:t>
      </w:r>
    </w:p>
    <w:p>
      <w:pPr>
        <w:pStyle w:val="Heading2"/>
      </w:pPr>
      <w:r>
        <w:t>Erwägungen</w:t>
      </w:r>
    </w:p>
    <w:p>
      <w:r>
        <w:rPr>
          <w:b/>
        </w:rPr>
        <w:t>E. 1</w:t>
      </w:r>
    </w:p>
    <w:p>
      <w:r>
        <w:t>Umstritten ist einzig die Frage, ob die Vorinstanz zu Recht von einer Abschöpfung des unrechtmässig erlangten Vermögensvorteils absah.</w:t>
      </w:r>
    </w:p>
    <w:p>
      <w:r>
        <w:rPr>
          <w:b/>
        </w:rPr>
        <w:t>E. 2</w:t>
      </w:r>
    </w:p>
    <w:p>
      <w:r>
        <w:t>Als einzige Vermögensstrafe des Strafgesetzbuches ist die Busse ( Art. 48-50, 106 StGB ) wie die Freiheitsstrafe persönlicher Natur ( BGE 86 II 75 f.); sie bleibt auch dann eine Hauptstrafe, wenn sie gemäss Art. 50 StGB mit einer Freiheitsstrafe verbunden wird ( BGE 86 IV 231 ff. E. 3). Innerhalb des Strafrahmens von Art. 48 Ziff. 1 StGB bestimmt der Richter den Betrag der Busse je nach den Verhältnissen des Täters so, dass dieser durch die Einbusse jene Strafe erleidet, die seinem Verschulden angemessen ist. Massgebend bleibt in erster Linie das Verschulden; erst danach ist unter Berücksichtigung der übrigen in Art. 48 Ziff. 2 Abs. 2 StGB genannten Umstände anhand der Einkommens- und Vermögensverhältnisse die Höhe der Busse so anzusetzen, dass sie den BGE 115 IV 173 S. 175 Verurteilten in der dem Verschulden angepassten Höhe trifft ( BGE 101 IV 16 f. mit Hinweisen; SCHULTZ, Einführung in den allgemeinen Teil des Strafrechts II, 4. Aufl., S. 122 ff.; REHBERG, Strafrecht II, 4. Aufl., S. 42 ff.). Durch ihren Strafcharakter unterscheidet sich die Busse unter anderem von der Massnahme der Einziehung nach Art. 58 StGB (SCHWANDER, Das Schweizerische Strafgesetzbuch, 2. Aufl., S. 192, N. 369). Dem Bezirksgericht erschien nach Würdigung der Strafzumessungsgründe und angesichts des Vermögens von Fr. 1'886'000.-- eine Strafe von zehn Monaten Gefängnis sowie eine Busse von Fr. 30'000.-- dem Verschulden des Beschwerdegegners als angemessen. Das Obergericht verwies im wesentlichen auf die Erwägungen des Bezirksgerichts und erachtete die ausgesprochene Strafe, "verbunden mit Fr. 30'000.-- Busse", ebenfalls als angemessen.</w:t>
      </w:r>
    </w:p>
    <w:p>
      <w:r>
        <w:rPr>
          <w:b/>
        </w:rPr>
        <w:t>E. 3</w:t>
      </w:r>
    </w:p>
    <w:p>
      <w:r>
        <w:t>Die Vorinstanz erwog für den Beschwerdegegner einen "unbestimmten, Fr. 20'645.-- nicht übersteigenden Betrag" als unrechtmässig erlangten Vermögensvorteil, hielt diesen in der Bussenhöhe von Fr. 30'000.-- als genügend berücksichtigt und verzichtete deswegen auf eine "zusätzliche Vorteilsbeseitigung". Damit verstiess sie gegen die für die Bussenbemessung im Schuldstrafrecht geltenden Grundsätze (SCHULTZ, a.a.O., S. 208 f.) und missachtete das zwingende Gebot der Einziehung bzw. Ersatzeinziehung nach Art. 58 Abs. 1 und 4 StGB (STRATENWERTH, Schweizerisches Strafrecht, AT II, S. 487 N. 31; SCHULTZ, a.a.O., S. 210 f.), wonach unter den gegebenen Voraussetzungen auf eine Ersatzforderung des Staates in der Höhe des unrechtmässigen Vorteils hätte erkannt werden müssen. Indem die Vorinstanz letzteres nicht tat, verletzte sie Bundesrecht. Dies führt zur Aufhebung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